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Генеральному директору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«ДНС»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“ </w:t>
      </w:r>
      <w:r>
        <w:rPr>
          <w:rFonts w:eastAsia="Times New Roman" w:cs="Times New Roman"/>
          <w:sz w:val="18"/>
          <w:szCs w:val="18"/>
        </w:rPr>
        <w:t>____ ” 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“Истец”,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“Ответчик”.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“ ____ ”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“ ____ ”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226</Words>
  <Characters>2212</Characters>
  <CharactersWithSpaces>2505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2016-02-15T15:24:00Z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2024-05-07T11:12:00Z</dcterms:modified>
  <cp:revision>7</cp:revision>
  <dc:subject/>
  <dc:title/>
</cp:coreProperties>
</file>