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>
        <w:t>ДНС</w:t>
      </w:r>
      <w:r w:rsidR="00CE77FE">
        <w:t>»</w:t>
      </w:r>
    </w:p>
    <w:p w:rsidR="00E5538D" w:rsidRDefault="00860D98">
      <w:pPr>
        <w:pStyle w:val="a3"/>
        <w:spacing w:before="78"/>
        <w:ind w:left="4752"/>
      </w:pPr>
      <w:r>
        <w:t>Трутневой Н</w:t>
      </w:r>
      <w:bookmarkStart w:id="0" w:name="_GoBack"/>
      <w:bookmarkEnd w:id="0"/>
      <w:r>
        <w:t>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«ДНС»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«ДНС»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Pr="00E5538D">
        <w:t>https://fastdns.ru/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860D98"/>
    <w:rsid w:val="00CE77FE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4AE9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2024-01-16T08:19:00Z</dcterms:created>
  <dcterms:modified xsi:type="dcterms:W3CDTF">2024-05-07T08:13:00Z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